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14" w:rsidRDefault="00127A4E" w:rsidP="00127A4E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Ramadan Bulan</w:t>
      </w:r>
      <w:r w:rsidR="007E3F14" w:rsidRPr="00127A4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4580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Alquran</w:t>
      </w:r>
    </w:p>
    <w:p w:rsidR="00645801" w:rsidRDefault="00645801" w:rsidP="00127A4E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Ahmad Atabik*</w:t>
      </w:r>
    </w:p>
    <w:p w:rsidR="00645801" w:rsidRPr="00127A4E" w:rsidRDefault="00645801" w:rsidP="00127A4E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shd w:val="clear" w:color="auto" w:fill="FFFFFF"/>
          <w:lang w:eastAsia="id-ID"/>
        </w:rPr>
        <w:drawing>
          <wp:inline distT="0" distB="0" distL="0" distR="0">
            <wp:extent cx="1505944" cy="1505944"/>
            <wp:effectExtent l="19050" t="0" r="0" b="0"/>
            <wp:docPr id="1" name="Picture 1" descr="D:\fb\Atab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b\Atab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14" cy="150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F14" w:rsidRDefault="007E3F14" w:rsidP="004E11FA">
      <w:pPr>
        <w:spacing w:after="0" w:line="36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Para ulama sepakat bahwa awal mula turunnya 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Alquran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adalah bulan Ramadan. Sebagaimana firman-Nya: Bu</w:t>
      </w:r>
      <w:r w:rsidRPr="007E3F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lan Ramadan yang di dal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amnya –mulai– </w:t>
      </w:r>
      <w:r w:rsidRPr="007E3F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diturunkannya Alquran sebagai petunjuk bagi manusia dan keterangan-keterangan yang nyata yang menunjuk kepada kebenaran, yang membedakan antara yang haq dan yang bathil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r w:rsidRPr="007E3F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QS. al-Baqarah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185). 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Alquran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merupakan kalam Allah yang menjadi pedoman hidup umat Islam. Sebuah kitab suci yang terjaga dari perubahan dan pemalsuan. Tiada seorangpun yang dapat menambah atau mengurangi satu huruf pun darinya. Ayat-ayatnya dibaca, dihafal dan didengar sebagaimana bentuknya saat diturunkan oleh Allah Swt. kepada Nabi Muhammad melalaui perantara malaikat Jibril.</w:t>
      </w:r>
    </w:p>
    <w:p w:rsidR="00954A92" w:rsidRDefault="00954A92" w:rsidP="004E11FA">
      <w:pPr>
        <w:spacing w:after="0" w:line="36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Perhatian kaum muslimin terhadap 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Alquran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sedemikian besarnya, sehingga mereka juga menghitung-hitung ayat-ayatnya –bahkan kata-kata perhurufnya—sekaligus. Maka, bagaimana mungkin seseorang dapat menambah atau mengurangi suatu kitab yang dihitung kata-kata dan huruf-hurufnya</w:t>
      </w:r>
      <w:r w:rsidR="001759F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secara terus menerus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Begitu juga, tidak ada di dunia ini, suatu kitab yang dihafal oleh puluhan ribu orang di dalam hati mereka, kecuali hanya 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Alquran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yang telah dimudahkan oleh Allah untuk mengingat dan menghafalnya. Maka, tidak aneh jika kita menemukan banyak orang, baik laki-laki maupun wanita, banyak anak kecil maupun dewasa, yang menghafal 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Alquran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dalam hatinya.</w:t>
      </w:r>
    </w:p>
    <w:p w:rsidR="00FC1CEA" w:rsidRDefault="00127A4E" w:rsidP="00127A4E">
      <w:pPr>
        <w:spacing w:after="0" w:line="36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Yusuf al-Qaradawi dalam </w:t>
      </w:r>
      <w:r w:rsidRPr="00127A4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Kaifa 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N</w:t>
      </w:r>
      <w:r w:rsidRPr="00127A4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ata’aml ma’a </w:t>
      </w:r>
      <w:r w:rsidR="0064580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Alquran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menjelaskan bahwa 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Alquran</w:t>
      </w:r>
      <w:r w:rsidR="00954A9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merupakan</w:t>
      </w:r>
      <w:r w:rsidR="00954A9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cahaya yang dianugrahkan Allah kepada hamba-hamba-Nya. 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Alquran</w:t>
      </w:r>
      <w:r w:rsidR="00954A9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sebagai cahaya bisa diartikan bahwa 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Alquran</w:t>
      </w:r>
      <w:r w:rsidR="00954A9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membuka hal-hal yang samar, menjelaskan hakikat-hakikat, membongkar kebatilan-kebatilan, menolak syubhat, dan menunjukkan jalan </w:t>
      </w:r>
      <w:r w:rsidR="00FC1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lurus </w:t>
      </w:r>
      <w:r w:rsidR="00954A9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bagi orang-orang yang sedang kebingungan saat mereka gamang dalam menapaki jalan atau tidak memiliki petunjuk jalan yang bisa mengarahkan kepada kebahagiaan hakiki.</w:t>
      </w:r>
      <w:r w:rsidR="00FC1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p w:rsidR="007E3F14" w:rsidRDefault="00645801" w:rsidP="004E11FA">
      <w:pPr>
        <w:spacing w:after="0" w:line="36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Alquran</w:t>
      </w:r>
      <w:r w:rsidR="00FC1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hadir di tengah-tengah umat manusia dengan tujuan meluruskan kepercayaan-kepercayaan dan pola pandang manusia tentang Tuhan, kenabian, dan balasan </w:t>
      </w:r>
      <w:r w:rsidR="00FC1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lastRenderedPageBreak/>
        <w:t xml:space="preserve">amal perbuatan, serta meluruskan pola pandangan tentang manusia, kemuliaannya dan menjaga hak-haknya, terutama bagi kalangan yang lemah dan tidak berpunya.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Alquran</w:t>
      </w:r>
      <w:r w:rsidR="00FC1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hadis juga bertujuan, menghubungkan manusia dengan Sang Penciptanya, agar manusia hanya menyembah kepada-Nya dan bertakwa kepada-Nya di mana pun mereka berada. Selain,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Alquran</w:t>
      </w:r>
      <w:r w:rsidR="00FC1C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hadir untuk membersihkan jiwa manusia. Sebab, jika jiwa itu bersih, niscaya baiklah seluruh masyarakatnya. Sementara, jika jiwa rusak, niscaya rusaklah masyarakat seluruhnya.</w:t>
      </w:r>
      <w:r w:rsidR="00954A9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p w:rsidR="00FC1CEA" w:rsidRDefault="00FC1CEA" w:rsidP="004E11FA">
      <w:pPr>
        <w:spacing w:after="0" w:line="36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Sikap kita kaum muslimin terhadap 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Alquran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adalah memberlakukannya dan berinteraksi dengannya secara baik; dengan membaca, menghafal dan mendengarkan, serta mentadabburi kandungan isinya. Selain itu, kita bisa memahami</w:t>
      </w:r>
      <w:r w:rsidR="004E11F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rahasia-rahasianya, serta mengeksplorasi mutiara-mutiara terpendamnya. Kita juga harus berinteraksi dengan 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Alquran</w:t>
      </w:r>
      <w:r w:rsidR="004E11F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dengan cara mengikuti petunjuknya serta mengamalkan kandungannya.</w:t>
      </w:r>
    </w:p>
    <w:p w:rsidR="00127A4E" w:rsidRDefault="004E11FA" w:rsidP="00645801">
      <w:pPr>
        <w:spacing w:after="0" w:line="36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27A4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Wal hasil,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 bulan di mana 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Alquran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diturunkan ini, marilah kita intensifkan berinteraksi dengan 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Alquran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dengan cara banyak membaca, mentadabburi dan mengamalkan ajarannya. </w:t>
      </w:r>
      <w:r w:rsidR="00127A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Sebagaimana dahulu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="00127A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Nabi 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Muhammad </w:t>
      </w:r>
      <w:r w:rsidR="00127A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dan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para ulama berlama-lama tadarus siang dalam malam Ramadan. Ibnu Rajab dalam </w:t>
      </w:r>
      <w:r w:rsidR="00127A4E" w:rsidRPr="00127A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alam 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Lathaif a</w:t>
      </w:r>
      <w:r w:rsidR="00127A4E" w:rsidRPr="00127A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l-Ma’arif, 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menjelaskan bahwa </w:t>
      </w:r>
      <w:r w:rsidR="00127A4E" w:rsidRPr="00127A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“Kebiasaan orang-orang terdahulu di bulan Ramadhan ialah membaca 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Alquran</w:t>
      </w:r>
      <w:r w:rsidR="00127A4E" w:rsidRPr="00127A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dalam shalat dan selainnya.”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Bahkan, Malaikat Jibril setiap bulan Ramadan senantiasa mendatangi Nabi Muhammad untuk mengajarinya Alquran.</w:t>
      </w:r>
      <w:r w:rsidR="00127A4E" w:rsidRPr="00127A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Pengkhususan Jibril bulan Ramadan tentu menjadi 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bukti nyata</w:t>
      </w:r>
      <w:r w:rsidR="00127A4E" w:rsidRPr="00127A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bahwa Ramadan benar-benar waktu istimewa sehingga ia p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antas menjadi waktu tadarus Alq</w:t>
      </w:r>
      <w:r w:rsidR="00127A4E" w:rsidRPr="00127A4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uran.</w:t>
      </w:r>
    </w:p>
    <w:p w:rsidR="00645801" w:rsidRDefault="00645801" w:rsidP="00645801">
      <w:pPr>
        <w:spacing w:after="0" w:line="36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645801" w:rsidRPr="00127A4E" w:rsidRDefault="001759F5" w:rsidP="001759F5">
      <w:pPr>
        <w:spacing w:after="0" w:line="36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*</w:t>
      </w:r>
      <w:r w:rsidR="00645801" w:rsidRPr="001759F5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Ahmad Atabik,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Wakil Ketua PC</w:t>
      </w:r>
      <w:r w:rsidR="006458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NU Lasem dan dewan pengasuh Ponpes Ash-Sholatiyah Lasem.</w:t>
      </w:r>
    </w:p>
    <w:sectPr w:rsidR="00645801" w:rsidRPr="00127A4E" w:rsidSect="00D41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E3F14"/>
    <w:rsid w:val="00127A4E"/>
    <w:rsid w:val="001759F5"/>
    <w:rsid w:val="004E11FA"/>
    <w:rsid w:val="00645801"/>
    <w:rsid w:val="007E3F14"/>
    <w:rsid w:val="00954A92"/>
    <w:rsid w:val="00D41038"/>
    <w:rsid w:val="00FC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3F14"/>
  </w:style>
  <w:style w:type="character" w:styleId="Hyperlink">
    <w:name w:val="Hyperlink"/>
    <w:basedOn w:val="DefaultParagraphFont"/>
    <w:uiPriority w:val="99"/>
    <w:semiHidden/>
    <w:unhideWhenUsed/>
    <w:rsid w:val="007E3F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127A4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MWC NU</dc:creator>
  <cp:lastModifiedBy>MWC NU</cp:lastModifiedBy>
  <cp:revision>1</cp:revision>
  <dcterms:created xsi:type="dcterms:W3CDTF">2016-06-16T14:17:00Z</dcterms:created>
  <dcterms:modified xsi:type="dcterms:W3CDTF">2016-06-16T15:21:00Z</dcterms:modified>
</cp:coreProperties>
</file>